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E0" w:rsidRDefault="00B04670" w:rsidP="00B04670">
      <w:pPr>
        <w:bidi/>
        <w:jc w:val="center"/>
        <w:rPr>
          <w:b/>
          <w:bCs/>
          <w:sz w:val="32"/>
          <w:szCs w:val="32"/>
          <w:u w:val="single"/>
          <w:rtl/>
        </w:rPr>
      </w:pPr>
      <w:r w:rsidRPr="00B04670">
        <w:rPr>
          <w:rFonts w:hint="cs"/>
          <w:b/>
          <w:bCs/>
          <w:sz w:val="32"/>
          <w:szCs w:val="32"/>
          <w:u w:val="single"/>
          <w:rtl/>
        </w:rPr>
        <w:t>עמדת אמונה לעניין העלאת גיל הפרישה לנשים</w:t>
      </w:r>
    </w:p>
    <w:p w:rsidR="00B04670" w:rsidRPr="00CA0254" w:rsidRDefault="00C77C5E" w:rsidP="00C77C5E">
      <w:pPr>
        <w:bidi/>
        <w:jc w:val="both"/>
        <w:rPr>
          <w:b/>
          <w:bCs/>
          <w:sz w:val="24"/>
          <w:szCs w:val="24"/>
          <w:rtl/>
        </w:rPr>
      </w:pPr>
      <w:r w:rsidRPr="00CA0254">
        <w:rPr>
          <w:rFonts w:hint="cs"/>
          <w:b/>
          <w:bCs/>
          <w:sz w:val="24"/>
          <w:szCs w:val="24"/>
          <w:rtl/>
        </w:rPr>
        <w:t xml:space="preserve">תנועת </w:t>
      </w:r>
      <w:proofErr w:type="spellStart"/>
      <w:r w:rsidRPr="00CA0254">
        <w:rPr>
          <w:rFonts w:hint="cs"/>
          <w:b/>
          <w:bCs/>
          <w:sz w:val="24"/>
          <w:szCs w:val="24"/>
          <w:rtl/>
        </w:rPr>
        <w:t>האשה</w:t>
      </w:r>
      <w:proofErr w:type="spellEnd"/>
      <w:r w:rsidRPr="00CA0254">
        <w:rPr>
          <w:rFonts w:hint="cs"/>
          <w:b/>
          <w:bCs/>
          <w:sz w:val="24"/>
          <w:szCs w:val="24"/>
          <w:rtl/>
        </w:rPr>
        <w:t xml:space="preserve"> הדתית לאומית "אמונה" מתנגדת להעלאת גיל הפרישה לנשים שכן משמעות הדברים הינה פגיעה ביכולת של הנשים שאינן נמצאות במעגל הע</w:t>
      </w:r>
      <w:r w:rsidR="006F1D7B" w:rsidRPr="00CA0254">
        <w:rPr>
          <w:rFonts w:hint="cs"/>
          <w:b/>
          <w:bCs/>
          <w:sz w:val="24"/>
          <w:szCs w:val="24"/>
          <w:rtl/>
        </w:rPr>
        <w:t xml:space="preserve">בודה לשרוד כלכלית עד גיל הפרישה, בשל דחיית גיל הזכאות לגמלת פנסיה או קצבת זקנה </w:t>
      </w:r>
      <w:proofErr w:type="spellStart"/>
      <w:r w:rsidR="006F1D7B" w:rsidRPr="00CA0254">
        <w:rPr>
          <w:rFonts w:hint="cs"/>
          <w:b/>
          <w:bCs/>
          <w:sz w:val="24"/>
          <w:szCs w:val="24"/>
          <w:rtl/>
        </w:rPr>
        <w:t>מהבט"ל</w:t>
      </w:r>
      <w:proofErr w:type="spellEnd"/>
      <w:r w:rsidR="006F1D7B" w:rsidRPr="00CA0254">
        <w:rPr>
          <w:rFonts w:hint="cs"/>
          <w:b/>
          <w:bCs/>
          <w:sz w:val="24"/>
          <w:szCs w:val="24"/>
          <w:rtl/>
        </w:rPr>
        <w:t>.</w:t>
      </w:r>
    </w:p>
    <w:p w:rsidR="008403E9" w:rsidRDefault="00C77C5E" w:rsidP="00246706">
      <w:pPr>
        <w:pStyle w:val="a7"/>
        <w:numPr>
          <w:ilvl w:val="0"/>
          <w:numId w:val="1"/>
        </w:numPr>
        <w:bidi/>
        <w:jc w:val="both"/>
        <w:rPr>
          <w:sz w:val="24"/>
          <w:szCs w:val="24"/>
        </w:rPr>
      </w:pPr>
      <w:r>
        <w:rPr>
          <w:rFonts w:hint="cs"/>
          <w:sz w:val="24"/>
          <w:szCs w:val="24"/>
          <w:rtl/>
        </w:rPr>
        <w:t>סקטור הנשים מופלה לרעה בשוק העבודה, במיוחד ב</w:t>
      </w:r>
      <w:r w:rsidR="005C4DDB">
        <w:rPr>
          <w:rFonts w:hint="cs"/>
          <w:sz w:val="24"/>
          <w:szCs w:val="24"/>
          <w:rtl/>
        </w:rPr>
        <w:t>גילאים המבוגרים- שכר הנשים</w:t>
      </w:r>
      <w:r>
        <w:rPr>
          <w:rFonts w:hint="cs"/>
          <w:sz w:val="24"/>
          <w:szCs w:val="24"/>
          <w:rtl/>
        </w:rPr>
        <w:t xml:space="preserve"> ושיעור העסקתן</w:t>
      </w:r>
      <w:r w:rsidR="00F7312D">
        <w:rPr>
          <w:rFonts w:hint="cs"/>
          <w:sz w:val="24"/>
          <w:szCs w:val="24"/>
          <w:rtl/>
        </w:rPr>
        <w:t xml:space="preserve"> נמוך והן מהוות כ-70% </w:t>
      </w:r>
      <w:proofErr w:type="spellStart"/>
      <w:r w:rsidR="00F7312D">
        <w:rPr>
          <w:rFonts w:hint="cs"/>
          <w:sz w:val="24"/>
          <w:szCs w:val="24"/>
          <w:rtl/>
        </w:rPr>
        <w:t>מהמשתכרים</w:t>
      </w:r>
      <w:proofErr w:type="spellEnd"/>
      <w:r w:rsidR="00F7312D">
        <w:rPr>
          <w:rFonts w:hint="cs"/>
          <w:sz w:val="24"/>
          <w:szCs w:val="24"/>
          <w:rtl/>
        </w:rPr>
        <w:t xml:space="preserve"> עד שכר המינימום. הנשים מרוכזות בעיקר במקצועות שוחקים (כגון עובדות </w:t>
      </w:r>
      <w:proofErr w:type="spellStart"/>
      <w:r w:rsidR="00F7312D">
        <w:rPr>
          <w:rFonts w:hint="cs"/>
          <w:sz w:val="24"/>
          <w:szCs w:val="24"/>
          <w:rtl/>
        </w:rPr>
        <w:t>נקיון</w:t>
      </w:r>
      <w:proofErr w:type="spellEnd"/>
      <w:r w:rsidR="00F7312D">
        <w:rPr>
          <w:rFonts w:hint="cs"/>
          <w:sz w:val="24"/>
          <w:szCs w:val="24"/>
          <w:rtl/>
        </w:rPr>
        <w:t xml:space="preserve">, מטפלות, פקידות ועוד) ולכן </w:t>
      </w:r>
      <w:r w:rsidR="008403E9">
        <w:rPr>
          <w:rFonts w:hint="cs"/>
          <w:sz w:val="24"/>
          <w:szCs w:val="24"/>
          <w:rtl/>
        </w:rPr>
        <w:t xml:space="preserve">נפלטות אל מחוץ למעגל העבודה בגיל העמידה. </w:t>
      </w:r>
      <w:r w:rsidR="00F7312D">
        <w:rPr>
          <w:rFonts w:hint="cs"/>
          <w:sz w:val="24"/>
          <w:szCs w:val="24"/>
          <w:rtl/>
        </w:rPr>
        <w:t>בהתאם לנתוני שרות התעסוקה מגיל 45 עולה באופן משמעותי שיעורן של הנשים המובטלות</w:t>
      </w:r>
      <w:r w:rsidR="008403E9">
        <w:rPr>
          <w:rFonts w:hint="cs"/>
          <w:sz w:val="24"/>
          <w:szCs w:val="24"/>
          <w:rtl/>
        </w:rPr>
        <w:t>. העלאת גיל הפרישה יאריך בשנתיים נוספות</w:t>
      </w:r>
      <w:r w:rsidR="00246706">
        <w:rPr>
          <w:rFonts w:hint="cs"/>
          <w:sz w:val="24"/>
          <w:szCs w:val="24"/>
          <w:rtl/>
        </w:rPr>
        <w:t xml:space="preserve"> את התקופה בה הן נותרות ללא אמצעי קיום. </w:t>
      </w:r>
    </w:p>
    <w:p w:rsidR="00CA0254" w:rsidRDefault="00CA0254" w:rsidP="00CA0254">
      <w:pPr>
        <w:pStyle w:val="a7"/>
        <w:bidi/>
        <w:jc w:val="both"/>
        <w:rPr>
          <w:sz w:val="24"/>
          <w:szCs w:val="24"/>
        </w:rPr>
      </w:pPr>
    </w:p>
    <w:p w:rsidR="00F7312D" w:rsidRDefault="00246706" w:rsidP="008403E9">
      <w:pPr>
        <w:pStyle w:val="a7"/>
        <w:numPr>
          <w:ilvl w:val="0"/>
          <w:numId w:val="1"/>
        </w:numPr>
        <w:bidi/>
        <w:jc w:val="both"/>
        <w:rPr>
          <w:sz w:val="24"/>
          <w:szCs w:val="24"/>
        </w:rPr>
      </w:pPr>
      <w:r>
        <w:rPr>
          <w:rFonts w:hint="cs"/>
          <w:sz w:val="24"/>
          <w:szCs w:val="24"/>
          <w:rtl/>
        </w:rPr>
        <w:t xml:space="preserve"> ע"פ נתוני הלשכה המרכזית לסטטיסטיקה עוד טרם גיל הפרישה הרשמי (62) יש ירידה משמעותית בש</w:t>
      </w:r>
      <w:r w:rsidR="00CA0254">
        <w:rPr>
          <w:rFonts w:hint="cs"/>
          <w:sz w:val="24"/>
          <w:szCs w:val="24"/>
          <w:rtl/>
        </w:rPr>
        <w:t>יעור הנשים המשתתפות בשוק העבודה,</w:t>
      </w:r>
      <w:r>
        <w:rPr>
          <w:rFonts w:hint="cs"/>
          <w:sz w:val="24"/>
          <w:szCs w:val="24"/>
          <w:rtl/>
        </w:rPr>
        <w:t xml:space="preserve"> </w:t>
      </w:r>
      <w:r w:rsidR="004B17DB">
        <w:rPr>
          <w:rFonts w:hint="cs"/>
          <w:sz w:val="24"/>
          <w:szCs w:val="24"/>
          <w:rtl/>
        </w:rPr>
        <w:t>ו</w:t>
      </w:r>
      <w:r w:rsidR="005C4DDB">
        <w:rPr>
          <w:rFonts w:hint="cs"/>
          <w:sz w:val="24"/>
          <w:szCs w:val="24"/>
          <w:rtl/>
        </w:rPr>
        <w:t xml:space="preserve">שיעור הנשים בגילאי 62-64 שאינן עובדות עומד על 58%. </w:t>
      </w:r>
    </w:p>
    <w:p w:rsidR="00C77C5E" w:rsidRDefault="005C4DDB" w:rsidP="00F7312D">
      <w:pPr>
        <w:pStyle w:val="a7"/>
        <w:bidi/>
        <w:jc w:val="both"/>
        <w:rPr>
          <w:sz w:val="24"/>
          <w:szCs w:val="24"/>
          <w:rtl/>
        </w:rPr>
      </w:pPr>
      <w:r>
        <w:rPr>
          <w:rFonts w:hint="cs"/>
          <w:sz w:val="24"/>
          <w:szCs w:val="24"/>
          <w:rtl/>
        </w:rPr>
        <w:t xml:space="preserve">אם יעלה גיל הפרישה לנשים מ-62 ל-64 משמעות הדברים לאותן נשים שיפרשו </w:t>
      </w:r>
      <w:r w:rsidR="00246706">
        <w:rPr>
          <w:rFonts w:hint="cs"/>
          <w:sz w:val="24"/>
          <w:szCs w:val="24"/>
          <w:rtl/>
        </w:rPr>
        <w:t>בגיל 62 ו</w:t>
      </w:r>
      <w:r>
        <w:rPr>
          <w:rFonts w:hint="cs"/>
          <w:sz w:val="24"/>
          <w:szCs w:val="24"/>
          <w:rtl/>
        </w:rPr>
        <w:t>לפני גיל 64 תהיה:</w:t>
      </w:r>
    </w:p>
    <w:p w:rsidR="00CA0254" w:rsidRDefault="00CA0254" w:rsidP="00CA0254">
      <w:pPr>
        <w:pStyle w:val="a7"/>
        <w:bidi/>
        <w:jc w:val="both"/>
        <w:rPr>
          <w:sz w:val="24"/>
          <w:szCs w:val="24"/>
        </w:rPr>
      </w:pPr>
    </w:p>
    <w:p w:rsidR="005C4DDB" w:rsidRDefault="005C4DDB" w:rsidP="005C4DDB">
      <w:pPr>
        <w:pStyle w:val="a7"/>
        <w:numPr>
          <w:ilvl w:val="0"/>
          <w:numId w:val="2"/>
        </w:numPr>
        <w:bidi/>
        <w:jc w:val="both"/>
        <w:rPr>
          <w:sz w:val="24"/>
          <w:szCs w:val="24"/>
        </w:rPr>
      </w:pPr>
      <w:r>
        <w:rPr>
          <w:rFonts w:hint="cs"/>
          <w:sz w:val="24"/>
          <w:szCs w:val="24"/>
          <w:rtl/>
        </w:rPr>
        <w:t>נשים שיבקשו לפדות את הזכויות שצברו בקרן הפנסיה יפגעו בקנס בשיעור של 12% בגין משכה מוקדמת</w:t>
      </w:r>
      <w:r w:rsidR="008403E9">
        <w:rPr>
          <w:rFonts w:hint="cs"/>
          <w:sz w:val="24"/>
          <w:szCs w:val="24"/>
          <w:rtl/>
        </w:rPr>
        <w:t>, ויקבלו לידיהן פנסיה מופחתת בלבד</w:t>
      </w:r>
      <w:r>
        <w:rPr>
          <w:rFonts w:hint="cs"/>
          <w:sz w:val="24"/>
          <w:szCs w:val="24"/>
          <w:rtl/>
        </w:rPr>
        <w:t>.</w:t>
      </w:r>
    </w:p>
    <w:p w:rsidR="00CA0254" w:rsidRDefault="00CA0254" w:rsidP="00CA0254">
      <w:pPr>
        <w:pStyle w:val="a7"/>
        <w:bidi/>
        <w:ind w:left="1080"/>
        <w:jc w:val="both"/>
        <w:rPr>
          <w:sz w:val="24"/>
          <w:szCs w:val="24"/>
        </w:rPr>
      </w:pPr>
    </w:p>
    <w:p w:rsidR="005C4DDB" w:rsidRPr="00CA0254" w:rsidRDefault="005C4DDB" w:rsidP="00CA0254">
      <w:pPr>
        <w:pStyle w:val="a7"/>
        <w:numPr>
          <w:ilvl w:val="0"/>
          <w:numId w:val="2"/>
        </w:numPr>
        <w:bidi/>
        <w:jc w:val="both"/>
        <w:rPr>
          <w:sz w:val="24"/>
          <w:szCs w:val="24"/>
          <w:rtl/>
        </w:rPr>
      </w:pPr>
      <w:r>
        <w:rPr>
          <w:rFonts w:hint="cs"/>
          <w:sz w:val="24"/>
          <w:szCs w:val="24"/>
          <w:rtl/>
        </w:rPr>
        <w:t>ניתן יהיה לתבוע קצבת זקנה רק מגיל 64, ולכן נשים שלא צברו זכויות בקרן הפנסיה יוותרו ללא אמצעי קיום עד הפנסיה</w:t>
      </w:r>
      <w:r w:rsidR="00F7312D">
        <w:rPr>
          <w:rFonts w:hint="cs"/>
          <w:sz w:val="24"/>
          <w:szCs w:val="24"/>
          <w:rtl/>
        </w:rPr>
        <w:t xml:space="preserve">, למרות שעבדו כל חייהן. </w:t>
      </w:r>
    </w:p>
    <w:p w:rsidR="00CA0254" w:rsidRDefault="00CA0254" w:rsidP="00CA0254">
      <w:pPr>
        <w:pStyle w:val="a7"/>
        <w:bidi/>
        <w:ind w:left="1080"/>
        <w:jc w:val="both"/>
        <w:rPr>
          <w:sz w:val="24"/>
          <w:szCs w:val="24"/>
          <w:rtl/>
        </w:rPr>
      </w:pPr>
    </w:p>
    <w:p w:rsidR="00301980" w:rsidRDefault="00301980" w:rsidP="005C4DDB">
      <w:pPr>
        <w:pStyle w:val="a7"/>
        <w:numPr>
          <w:ilvl w:val="0"/>
          <w:numId w:val="1"/>
        </w:numPr>
        <w:bidi/>
        <w:jc w:val="both"/>
        <w:rPr>
          <w:rFonts w:hint="cs"/>
          <w:sz w:val="24"/>
          <w:szCs w:val="24"/>
        </w:rPr>
      </w:pPr>
      <w:r>
        <w:rPr>
          <w:rFonts w:hint="cs"/>
          <w:sz w:val="24"/>
          <w:szCs w:val="24"/>
          <w:rtl/>
        </w:rPr>
        <w:t xml:space="preserve">יוער, כי </w:t>
      </w:r>
      <w:proofErr w:type="spellStart"/>
      <w:r>
        <w:rPr>
          <w:rFonts w:hint="cs"/>
          <w:sz w:val="24"/>
          <w:szCs w:val="24"/>
          <w:rtl/>
        </w:rPr>
        <w:t>הנסיון</w:t>
      </w:r>
      <w:proofErr w:type="spellEnd"/>
      <w:r>
        <w:rPr>
          <w:rFonts w:hint="cs"/>
          <w:sz w:val="24"/>
          <w:szCs w:val="24"/>
          <w:rtl/>
        </w:rPr>
        <w:t xml:space="preserve"> ללמוד ממצבן של נשים המשתכרות שכר גבוה במקצועות החופשיים, אין בו כדי ללמד על כלל הנשים המועסקות, ולפיכך יש לאפשר לנשים החפצות בכך להאריך את גיל הפרישה מעבר לגיל 62, אולם לא להפוך זאת לחובה.</w:t>
      </w:r>
    </w:p>
    <w:p w:rsidR="00301980" w:rsidRDefault="00301980" w:rsidP="00301980">
      <w:pPr>
        <w:pStyle w:val="a7"/>
        <w:bidi/>
        <w:jc w:val="both"/>
        <w:rPr>
          <w:rFonts w:hint="cs"/>
          <w:sz w:val="24"/>
          <w:szCs w:val="24"/>
        </w:rPr>
      </w:pPr>
    </w:p>
    <w:p w:rsidR="005C4DDB" w:rsidRDefault="00301980" w:rsidP="00301980">
      <w:pPr>
        <w:pStyle w:val="a7"/>
        <w:numPr>
          <w:ilvl w:val="0"/>
          <w:numId w:val="1"/>
        </w:numPr>
        <w:bidi/>
        <w:jc w:val="both"/>
        <w:rPr>
          <w:sz w:val="24"/>
          <w:szCs w:val="24"/>
        </w:rPr>
      </w:pPr>
      <w:r>
        <w:rPr>
          <w:rFonts w:hint="cs"/>
          <w:sz w:val="24"/>
          <w:szCs w:val="24"/>
          <w:rtl/>
        </w:rPr>
        <w:t xml:space="preserve">ברי, </w:t>
      </w:r>
      <w:bookmarkStart w:id="0" w:name="_GoBack"/>
      <w:bookmarkEnd w:id="0"/>
      <w:r>
        <w:rPr>
          <w:rFonts w:hint="cs"/>
          <w:sz w:val="24"/>
          <w:szCs w:val="24"/>
          <w:rtl/>
        </w:rPr>
        <w:t xml:space="preserve">כי </w:t>
      </w:r>
      <w:r w:rsidR="005C4DDB">
        <w:rPr>
          <w:rFonts w:hint="cs"/>
          <w:sz w:val="24"/>
          <w:szCs w:val="24"/>
          <w:rtl/>
        </w:rPr>
        <w:t>רק כאשר</w:t>
      </w:r>
      <w:r w:rsidR="00296786">
        <w:rPr>
          <w:rFonts w:hint="cs"/>
          <w:sz w:val="24"/>
          <w:szCs w:val="24"/>
          <w:rtl/>
        </w:rPr>
        <w:t xml:space="preserve"> תבוטל הפלית</w:t>
      </w:r>
      <w:r w:rsidR="006F1D7B">
        <w:rPr>
          <w:rFonts w:hint="cs"/>
          <w:sz w:val="24"/>
          <w:szCs w:val="24"/>
          <w:rtl/>
        </w:rPr>
        <w:t xml:space="preserve"> </w:t>
      </w:r>
      <w:r w:rsidR="00296786">
        <w:rPr>
          <w:rFonts w:hint="cs"/>
          <w:sz w:val="24"/>
          <w:szCs w:val="24"/>
          <w:rtl/>
        </w:rPr>
        <w:t xml:space="preserve">הנשים המבוגרות </w:t>
      </w:r>
      <w:r w:rsidR="006F1D7B">
        <w:rPr>
          <w:rFonts w:hint="cs"/>
          <w:sz w:val="24"/>
          <w:szCs w:val="24"/>
          <w:rtl/>
        </w:rPr>
        <w:t>לרעה בשוק העבודה,</w:t>
      </w:r>
      <w:r w:rsidR="005C4DDB">
        <w:rPr>
          <w:rFonts w:hint="cs"/>
          <w:sz w:val="24"/>
          <w:szCs w:val="24"/>
          <w:rtl/>
        </w:rPr>
        <w:t xml:space="preserve"> יושווה שכר הנשים לזה של הגברים ודפוסי העבודה</w:t>
      </w:r>
      <w:r w:rsidR="00F7312D">
        <w:rPr>
          <w:rFonts w:hint="cs"/>
          <w:sz w:val="24"/>
          <w:szCs w:val="24"/>
          <w:rtl/>
        </w:rPr>
        <w:t xml:space="preserve"> יהיו דומים- ניתן יהיה לדרוש </w:t>
      </w:r>
      <w:proofErr w:type="spellStart"/>
      <w:r w:rsidR="00F7312D">
        <w:rPr>
          <w:rFonts w:hint="cs"/>
          <w:sz w:val="24"/>
          <w:szCs w:val="24"/>
          <w:rtl/>
        </w:rPr>
        <w:t>שי</w:t>
      </w:r>
      <w:r w:rsidR="005C4DDB">
        <w:rPr>
          <w:rFonts w:hint="cs"/>
          <w:sz w:val="24"/>
          <w:szCs w:val="24"/>
          <w:rtl/>
        </w:rPr>
        <w:t>ויון</w:t>
      </w:r>
      <w:proofErr w:type="spellEnd"/>
      <w:r w:rsidR="005C4DDB">
        <w:rPr>
          <w:rFonts w:hint="cs"/>
          <w:sz w:val="24"/>
          <w:szCs w:val="24"/>
          <w:rtl/>
        </w:rPr>
        <w:t xml:space="preserve"> גם בנושא גיל הפרישה</w:t>
      </w:r>
      <w:r w:rsidR="00CA0254">
        <w:rPr>
          <w:rFonts w:hint="cs"/>
          <w:sz w:val="24"/>
          <w:szCs w:val="24"/>
          <w:rtl/>
        </w:rPr>
        <w:t xml:space="preserve"> לנשים</w:t>
      </w:r>
      <w:r w:rsidR="005C4DDB">
        <w:rPr>
          <w:rFonts w:hint="cs"/>
          <w:sz w:val="24"/>
          <w:szCs w:val="24"/>
          <w:rtl/>
        </w:rPr>
        <w:t>.</w:t>
      </w:r>
    </w:p>
    <w:p w:rsidR="00301980" w:rsidRDefault="00CA0254" w:rsidP="00301980">
      <w:pPr>
        <w:bidi/>
        <w:jc w:val="both"/>
        <w:rPr>
          <w:rFonts w:hint="cs"/>
          <w:b/>
          <w:bCs/>
          <w:sz w:val="24"/>
          <w:szCs w:val="24"/>
          <w:rtl/>
        </w:rPr>
      </w:pPr>
      <w:r w:rsidRPr="00CA0254">
        <w:rPr>
          <w:rFonts w:hint="cs"/>
          <w:b/>
          <w:bCs/>
          <w:sz w:val="24"/>
          <w:szCs w:val="24"/>
          <w:rtl/>
        </w:rPr>
        <w:t xml:space="preserve">לאור האמור, כל עוד </w:t>
      </w:r>
      <w:r w:rsidR="008403E9" w:rsidRPr="00CA0254">
        <w:rPr>
          <w:rFonts w:hint="cs"/>
          <w:b/>
          <w:bCs/>
          <w:sz w:val="24"/>
          <w:szCs w:val="24"/>
          <w:rtl/>
        </w:rPr>
        <w:t>יותר ויותר נשים מוצאות את עצמן מחוץ לשוק העבודה לפני גיל הפרישה,</w:t>
      </w:r>
      <w:r w:rsidRPr="00CA0254">
        <w:rPr>
          <w:rFonts w:hint="cs"/>
          <w:b/>
          <w:bCs/>
          <w:sz w:val="24"/>
          <w:szCs w:val="24"/>
          <w:rtl/>
        </w:rPr>
        <w:t xml:space="preserve"> הרי</w:t>
      </w:r>
      <w:r w:rsidR="008403E9" w:rsidRPr="00CA0254">
        <w:rPr>
          <w:rFonts w:hint="cs"/>
          <w:b/>
          <w:bCs/>
          <w:sz w:val="24"/>
          <w:szCs w:val="24"/>
          <w:rtl/>
        </w:rPr>
        <w:t xml:space="preserve"> שהעלאת גיל הפרישה לנשים, מבלי הכנה מוקדמת ושורשית של שוק העבודה בכללותו </w:t>
      </w:r>
      <w:r w:rsidR="00A93A06" w:rsidRPr="00CA0254">
        <w:rPr>
          <w:rFonts w:hint="cs"/>
          <w:b/>
          <w:bCs/>
          <w:sz w:val="24"/>
          <w:szCs w:val="24"/>
          <w:rtl/>
        </w:rPr>
        <w:t xml:space="preserve">ומבלי לאמץ מנגנוני בקרה וקידום </w:t>
      </w:r>
      <w:proofErr w:type="spellStart"/>
      <w:r w:rsidR="00A93A06" w:rsidRPr="00CA0254">
        <w:rPr>
          <w:rFonts w:hint="cs"/>
          <w:b/>
          <w:bCs/>
          <w:sz w:val="24"/>
          <w:szCs w:val="24"/>
          <w:rtl/>
        </w:rPr>
        <w:t>שיוויון</w:t>
      </w:r>
      <w:proofErr w:type="spellEnd"/>
      <w:r w:rsidR="00A93A06" w:rsidRPr="00CA0254">
        <w:rPr>
          <w:rFonts w:hint="cs"/>
          <w:b/>
          <w:bCs/>
          <w:sz w:val="24"/>
          <w:szCs w:val="24"/>
          <w:rtl/>
        </w:rPr>
        <w:t xml:space="preserve"> לנשים, </w:t>
      </w:r>
      <w:r w:rsidR="008403E9" w:rsidRPr="00CA0254">
        <w:rPr>
          <w:rFonts w:hint="cs"/>
          <w:b/>
          <w:bCs/>
          <w:sz w:val="24"/>
          <w:szCs w:val="24"/>
          <w:rtl/>
        </w:rPr>
        <w:t>משמעותו העמקת העוני בקרב נשים על בסיס מגדרי</w:t>
      </w:r>
      <w:r w:rsidRPr="00CA0254">
        <w:rPr>
          <w:rFonts w:hint="cs"/>
          <w:b/>
          <w:bCs/>
          <w:sz w:val="24"/>
          <w:szCs w:val="24"/>
          <w:rtl/>
        </w:rPr>
        <w:t>, ולכך יש להתנגד בכל תוקף</w:t>
      </w:r>
      <w:r w:rsidR="00301980">
        <w:rPr>
          <w:rFonts w:hint="cs"/>
          <w:b/>
          <w:bCs/>
          <w:sz w:val="24"/>
          <w:szCs w:val="24"/>
          <w:rtl/>
        </w:rPr>
        <w:t>.</w:t>
      </w:r>
    </w:p>
    <w:p w:rsidR="004A44C5" w:rsidRPr="00301980" w:rsidRDefault="004A44C5" w:rsidP="00301980">
      <w:pPr>
        <w:pStyle w:val="a7"/>
        <w:numPr>
          <w:ilvl w:val="0"/>
          <w:numId w:val="5"/>
        </w:numPr>
        <w:bidi/>
        <w:jc w:val="both"/>
        <w:rPr>
          <w:b/>
          <w:bCs/>
          <w:sz w:val="20"/>
          <w:szCs w:val="20"/>
          <w:rtl/>
        </w:rPr>
      </w:pPr>
      <w:r w:rsidRPr="00301980">
        <w:rPr>
          <w:rFonts w:hint="cs"/>
          <w:b/>
          <w:bCs/>
          <w:sz w:val="20"/>
          <w:szCs w:val="20"/>
          <w:rtl/>
        </w:rPr>
        <w:t>ת</w:t>
      </w:r>
      <w:r w:rsidR="00301980">
        <w:rPr>
          <w:rFonts w:hint="cs"/>
          <w:b/>
          <w:bCs/>
          <w:sz w:val="20"/>
          <w:szCs w:val="20"/>
          <w:rtl/>
        </w:rPr>
        <w:t>וד</w:t>
      </w:r>
      <w:r w:rsidRPr="00301980">
        <w:rPr>
          <w:rFonts w:hint="cs"/>
          <w:b/>
          <w:bCs/>
          <w:sz w:val="20"/>
          <w:szCs w:val="20"/>
          <w:rtl/>
        </w:rPr>
        <w:t>תנו נתונה ל"נעמת- תנועת נשים עובדות ומתנדבות", על סיוע במתן הנתונים.</w:t>
      </w:r>
    </w:p>
    <w:sectPr w:rsidR="004A44C5" w:rsidRPr="00301980" w:rsidSect="008838F4">
      <w:headerReference w:type="default" r:id="rId8"/>
      <w:pgSz w:w="11906" w:h="16838"/>
      <w:pgMar w:top="2552"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670" w:rsidRDefault="00B04670" w:rsidP="008838F4">
      <w:pPr>
        <w:spacing w:after="0" w:line="240" w:lineRule="auto"/>
      </w:pPr>
      <w:r>
        <w:separator/>
      </w:r>
    </w:p>
  </w:endnote>
  <w:endnote w:type="continuationSeparator" w:id="0">
    <w:p w:rsidR="00B04670" w:rsidRDefault="00B04670" w:rsidP="0088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670" w:rsidRDefault="00B04670" w:rsidP="008838F4">
      <w:pPr>
        <w:spacing w:after="0" w:line="240" w:lineRule="auto"/>
      </w:pPr>
      <w:r>
        <w:separator/>
      </w:r>
    </w:p>
  </w:footnote>
  <w:footnote w:type="continuationSeparator" w:id="0">
    <w:p w:rsidR="00B04670" w:rsidRDefault="00B04670" w:rsidP="00883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F4" w:rsidRDefault="008838F4">
    <w:pPr>
      <w:pStyle w:val="a3"/>
    </w:pPr>
    <w:r>
      <w:rPr>
        <w:noProof/>
      </w:rPr>
      <w:drawing>
        <wp:anchor distT="0" distB="0" distL="114300" distR="114300" simplePos="0" relativeHeight="251659264" behindDoc="0" locked="0" layoutInCell="1" allowOverlap="1" wp14:anchorId="42AAA98A" wp14:editId="2836E69B">
          <wp:simplePos x="0" y="0"/>
          <wp:positionH relativeFrom="column">
            <wp:posOffset>-990600</wp:posOffset>
          </wp:positionH>
          <wp:positionV relativeFrom="paragraph">
            <wp:posOffset>-297180</wp:posOffset>
          </wp:positionV>
          <wp:extent cx="7530465" cy="10629900"/>
          <wp:effectExtent l="0" t="0" r="0" b="0"/>
          <wp:wrapNone/>
          <wp:docPr id="1" name="תמונה 1" descr="cid:BEE60E95-0581-45BB-B2A5-4CB4B7C052B3@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EE60E95-0581-45BB-B2A5-4CB4B7C052B3@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30465" cy="1062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06B"/>
    <w:multiLevelType w:val="hybridMultilevel"/>
    <w:tmpl w:val="31421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B66EE"/>
    <w:multiLevelType w:val="hybridMultilevel"/>
    <w:tmpl w:val="C2FE1CAE"/>
    <w:lvl w:ilvl="0" w:tplc="27343EFC">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4729B"/>
    <w:multiLevelType w:val="hybridMultilevel"/>
    <w:tmpl w:val="6F2EA612"/>
    <w:lvl w:ilvl="0" w:tplc="5E8C9890">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D555A"/>
    <w:multiLevelType w:val="hybridMultilevel"/>
    <w:tmpl w:val="1424F946"/>
    <w:lvl w:ilvl="0" w:tplc="43CAF3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A1C18"/>
    <w:multiLevelType w:val="hybridMultilevel"/>
    <w:tmpl w:val="159C4CDC"/>
    <w:lvl w:ilvl="0" w:tplc="1C0EA7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70"/>
    <w:rsid w:val="00246706"/>
    <w:rsid w:val="00296786"/>
    <w:rsid w:val="00301980"/>
    <w:rsid w:val="00335443"/>
    <w:rsid w:val="004A44C5"/>
    <w:rsid w:val="004B17DB"/>
    <w:rsid w:val="005C4DDB"/>
    <w:rsid w:val="006F1D7B"/>
    <w:rsid w:val="008403E9"/>
    <w:rsid w:val="008838F4"/>
    <w:rsid w:val="008E7E01"/>
    <w:rsid w:val="00A93A06"/>
    <w:rsid w:val="00B02874"/>
    <w:rsid w:val="00B04670"/>
    <w:rsid w:val="00C77C5E"/>
    <w:rsid w:val="00CA0254"/>
    <w:rsid w:val="00F731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100" w:beforeAutospacing="1" w:after="100" w:afterAutospacing="1" w:line="360" w:lineRule="auto"/>
        <w:ind w:lef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0" w:beforeAutospacing="0" w:after="200" w:afterAutospacing="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8F4"/>
    <w:pPr>
      <w:tabs>
        <w:tab w:val="center" w:pos="4153"/>
        <w:tab w:val="right" w:pos="8306"/>
      </w:tabs>
      <w:spacing w:after="0" w:line="240" w:lineRule="auto"/>
    </w:pPr>
  </w:style>
  <w:style w:type="character" w:customStyle="1" w:styleId="a4">
    <w:name w:val="כותרת עליונה תו"/>
    <w:basedOn w:val="a0"/>
    <w:link w:val="a3"/>
    <w:uiPriority w:val="99"/>
    <w:rsid w:val="008838F4"/>
  </w:style>
  <w:style w:type="paragraph" w:styleId="a5">
    <w:name w:val="footer"/>
    <w:basedOn w:val="a"/>
    <w:link w:val="a6"/>
    <w:uiPriority w:val="99"/>
    <w:unhideWhenUsed/>
    <w:rsid w:val="008838F4"/>
    <w:pPr>
      <w:tabs>
        <w:tab w:val="center" w:pos="4153"/>
        <w:tab w:val="right" w:pos="8306"/>
      </w:tabs>
      <w:spacing w:after="0" w:line="240" w:lineRule="auto"/>
    </w:pPr>
  </w:style>
  <w:style w:type="character" w:customStyle="1" w:styleId="a6">
    <w:name w:val="כותרת תחתונה תו"/>
    <w:basedOn w:val="a0"/>
    <w:link w:val="a5"/>
    <w:uiPriority w:val="99"/>
    <w:rsid w:val="008838F4"/>
  </w:style>
  <w:style w:type="paragraph" w:styleId="a7">
    <w:name w:val="List Paragraph"/>
    <w:basedOn w:val="a"/>
    <w:uiPriority w:val="34"/>
    <w:qFormat/>
    <w:rsid w:val="00C77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100" w:beforeAutospacing="1" w:after="100" w:afterAutospacing="1" w:line="360" w:lineRule="auto"/>
        <w:ind w:lef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0" w:beforeAutospacing="0" w:after="200" w:afterAutospacing="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8F4"/>
    <w:pPr>
      <w:tabs>
        <w:tab w:val="center" w:pos="4153"/>
        <w:tab w:val="right" w:pos="8306"/>
      </w:tabs>
      <w:spacing w:after="0" w:line="240" w:lineRule="auto"/>
    </w:pPr>
  </w:style>
  <w:style w:type="character" w:customStyle="1" w:styleId="a4">
    <w:name w:val="כותרת עליונה תו"/>
    <w:basedOn w:val="a0"/>
    <w:link w:val="a3"/>
    <w:uiPriority w:val="99"/>
    <w:rsid w:val="008838F4"/>
  </w:style>
  <w:style w:type="paragraph" w:styleId="a5">
    <w:name w:val="footer"/>
    <w:basedOn w:val="a"/>
    <w:link w:val="a6"/>
    <w:uiPriority w:val="99"/>
    <w:unhideWhenUsed/>
    <w:rsid w:val="008838F4"/>
    <w:pPr>
      <w:tabs>
        <w:tab w:val="center" w:pos="4153"/>
        <w:tab w:val="right" w:pos="8306"/>
      </w:tabs>
      <w:spacing w:after="0" w:line="240" w:lineRule="auto"/>
    </w:pPr>
  </w:style>
  <w:style w:type="character" w:customStyle="1" w:styleId="a6">
    <w:name w:val="כותרת תחתונה תו"/>
    <w:basedOn w:val="a0"/>
    <w:link w:val="a5"/>
    <w:uiPriority w:val="99"/>
    <w:rsid w:val="008838F4"/>
  </w:style>
  <w:style w:type="paragraph" w:styleId="a7">
    <w:name w:val="List Paragraph"/>
    <w:basedOn w:val="a"/>
    <w:uiPriority w:val="34"/>
    <w:qFormat/>
    <w:rsid w:val="00C77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72061">
      <w:bodyDiv w:val="1"/>
      <w:marLeft w:val="0"/>
      <w:marRight w:val="0"/>
      <w:marTop w:val="0"/>
      <w:marBottom w:val="0"/>
      <w:divBdr>
        <w:top w:val="none" w:sz="0" w:space="0" w:color="auto"/>
        <w:left w:val="none" w:sz="0" w:space="0" w:color="auto"/>
        <w:bottom w:val="none" w:sz="0" w:space="0" w:color="auto"/>
        <w:right w:val="none" w:sz="0" w:space="0" w:color="auto"/>
      </w:divBdr>
    </w:div>
    <w:div w:id="89740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BEE60E95-0581-45BB-B2A5-4CB4B7C052B3@loca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siporet\documents\&#1491;&#1507;%20&#1500;&#1493;&#1490;&#1493;%20&#1488;&#1502;&#1493;&#1504;&#1492;%2014.2.1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דף לוגו אמונה 14.2.12.dotx</Template>
  <TotalTime>0</TotalTime>
  <Pages>1</Pages>
  <Words>319</Words>
  <Characters>1598</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Tsiporet Shimel</dc:creator>
  <cp:keywords/>
  <dc:description/>
  <cp:lastModifiedBy>Tsiporet Shimel</cp:lastModifiedBy>
  <cp:revision>2</cp:revision>
  <dcterms:created xsi:type="dcterms:W3CDTF">2013-06-02T08:13:00Z</dcterms:created>
  <dcterms:modified xsi:type="dcterms:W3CDTF">2013-06-02T08:13:00Z</dcterms:modified>
</cp:coreProperties>
</file>