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FA" w:rsidRDefault="00092AFA" w:rsidP="00092AFA">
      <w:pPr>
        <w:spacing w:line="360" w:lineRule="auto"/>
        <w:jc w:val="center"/>
        <w:rPr>
          <w:b/>
          <w:bCs/>
          <w:u w:val="single"/>
        </w:rPr>
      </w:pPr>
      <w:r>
        <w:rPr>
          <w:rFonts w:hint="cs"/>
          <w:b/>
          <w:bCs/>
          <w:u w:val="single"/>
          <w:rtl/>
        </w:rPr>
        <w:t xml:space="preserve">עמדת "אמונה" לעניין </w:t>
      </w:r>
      <w:bookmarkStart w:id="0" w:name="_GoBack"/>
      <w:bookmarkEnd w:id="0"/>
      <w:r w:rsidRPr="00092AFA">
        <w:rPr>
          <w:b/>
          <w:bCs/>
          <w:u w:val="single"/>
          <w:rtl/>
        </w:rPr>
        <w:t xml:space="preserve">הצעת חוק בתי דין רבניים (קיום פסקי דין של גירושין) </w:t>
      </w:r>
    </w:p>
    <w:p w:rsidR="00092AFA" w:rsidRPr="00092AFA" w:rsidRDefault="00092AFA" w:rsidP="00092AFA">
      <w:pPr>
        <w:spacing w:line="360" w:lineRule="auto"/>
        <w:jc w:val="center"/>
        <w:rPr>
          <w:b/>
          <w:bCs/>
          <w:u w:val="single"/>
          <w:rtl/>
        </w:rPr>
      </w:pPr>
      <w:r w:rsidRPr="00092AFA">
        <w:rPr>
          <w:b/>
          <w:bCs/>
          <w:u w:val="single"/>
          <w:rtl/>
        </w:rPr>
        <w:t xml:space="preserve">(תיקון – הגבלות על סרבני גט במאסר כפייה), </w:t>
      </w:r>
      <w:proofErr w:type="spellStart"/>
      <w:r w:rsidRPr="00092AFA">
        <w:rPr>
          <w:b/>
          <w:bCs/>
          <w:u w:val="single"/>
          <w:rtl/>
        </w:rPr>
        <w:t>התשע"ו</w:t>
      </w:r>
      <w:proofErr w:type="spellEnd"/>
      <w:r w:rsidRPr="00092AFA">
        <w:rPr>
          <w:b/>
          <w:bCs/>
          <w:u w:val="single"/>
          <w:rtl/>
        </w:rPr>
        <w:t>–2016</w:t>
      </w:r>
    </w:p>
    <w:p w:rsidR="00092AFA" w:rsidRDefault="00092AFA" w:rsidP="00092AFA">
      <w:pPr>
        <w:spacing w:line="360" w:lineRule="auto"/>
        <w:jc w:val="both"/>
        <w:rPr>
          <w:b/>
          <w:bCs/>
          <w:u w:val="single"/>
        </w:rPr>
      </w:pPr>
    </w:p>
    <w:p w:rsidR="00092AFA" w:rsidRPr="00092AFA" w:rsidRDefault="00092AFA" w:rsidP="00092AFA">
      <w:pPr>
        <w:spacing w:line="360" w:lineRule="auto"/>
        <w:jc w:val="both"/>
      </w:pPr>
      <w:r w:rsidRPr="00092AFA">
        <w:rPr>
          <w:rtl/>
        </w:rPr>
        <w:t xml:space="preserve">חוק בתי דין רבניים (קיום פסקי דין של גירושין), </w:t>
      </w:r>
      <w:proofErr w:type="spellStart"/>
      <w:r w:rsidRPr="00092AFA">
        <w:rPr>
          <w:rtl/>
        </w:rPr>
        <w:t>התשנ"ה</w:t>
      </w:r>
      <w:proofErr w:type="spellEnd"/>
      <w:r w:rsidRPr="00092AFA">
        <w:rPr>
          <w:rtl/>
        </w:rPr>
        <w:t xml:space="preserve">–1995 (להלן – החוק) הוא כלי חשוב שנתן המחוקק לבתי הדין הרבניים, במטרה לגרום לאכיפת פסקי דין לגירושין ומתן גט באמצעות הטלת צווי הגבלה שונים על סרבני גט. בין אפיקי הפעולה העומדים לרשות בתי הדין נחשב צו המאסר בכפייה לקיצוני מבין צווי ההגבלה. אולם נראה שגם צו זה אינו מטיל הגבלות חמורות מספיק על סרבני הגט. בין ישנם סרבני גט, שבין כתלי בית הכלא מעזים לדרוש הטבה בתנאיהם או לאמץ תנאים שייטיבו עימם במהלך תקופת מאסרם כדוגמת השתתפות במסגרות לימודיות שונות הקיימות בבתי המאסר, קבלת אוכל כשר למהדרין או שהייה באגף שומרי המצוות. </w:t>
      </w:r>
    </w:p>
    <w:p w:rsidR="00092AFA" w:rsidRDefault="00092AFA" w:rsidP="00092AFA">
      <w:pPr>
        <w:spacing w:line="360" w:lineRule="auto"/>
        <w:jc w:val="both"/>
        <w:rPr>
          <w:rFonts w:hint="cs"/>
          <w:rtl/>
        </w:rPr>
      </w:pPr>
      <w:r w:rsidRPr="00092AFA">
        <w:rPr>
          <w:rtl/>
        </w:rPr>
        <w:t>בית הדין הרבני הגדול הביע את התנגדותו להטבות אלה וקבע כי אין כל הצדקה לשהייתם של סרבני גט (גם דתיים) באגף שומרי המצוות שבבתי המאסר וכן כי אין לטרוח בעבור סרבן גט בהכנת אוכל בכשרות מהודרת זאת בשעה שאינו מקיים את חובתו ההלכתית הבסיסית במתן גט לאשתו. כמו כן קבע בית הדין כי יש לאסור על סרבן גט להשתתף בכל מסגרת לימודית הנמצאת בבית המאסר ואף ניתן למנוע מסרבנים השוהים בבידוד אפשרות אחזקת חומרי קריאה וכתיבה או שימוש באמצעי תקשורת מכל סוג ובכך למנוע מהם להקשות את עורפם במתן הגט.</w:t>
      </w:r>
    </w:p>
    <w:p w:rsidR="00092AFA" w:rsidRPr="00092AFA" w:rsidRDefault="00092AFA" w:rsidP="00092AFA">
      <w:pPr>
        <w:spacing w:line="360" w:lineRule="auto"/>
        <w:jc w:val="both"/>
        <w:rPr>
          <w:rtl/>
        </w:rPr>
      </w:pPr>
      <w:r>
        <w:rPr>
          <w:rtl/>
        </w:rPr>
        <w:t>הצ</w:t>
      </w:r>
      <w:r>
        <w:rPr>
          <w:rFonts w:hint="cs"/>
          <w:rtl/>
        </w:rPr>
        <w:t>עת החוק שבנדון, שנוסחה בסיועה "אמונה",</w:t>
      </w:r>
      <w:r w:rsidRPr="00092AFA">
        <w:rPr>
          <w:rtl/>
        </w:rPr>
        <w:t xml:space="preserve"> מבקשת להסמיך את בתי הדין הרבניים להטיל הגבלות אלה על סרבני גט שנמצאים במאסר כפייה, במטרה לשכנעם להתיר את נשותיהם מכבלי עגינותן.</w:t>
      </w:r>
    </w:p>
    <w:p w:rsidR="00092AFA" w:rsidRPr="00092AFA" w:rsidRDefault="00092AFA" w:rsidP="00092AFA">
      <w:pPr>
        <w:spacing w:line="360" w:lineRule="auto"/>
        <w:jc w:val="both"/>
        <w:rPr>
          <w:rtl/>
        </w:rPr>
      </w:pPr>
      <w:r>
        <w:rPr>
          <w:rFonts w:hint="cs"/>
          <w:rtl/>
        </w:rPr>
        <w:t>כמו כן, אמונה קורא</w:t>
      </w:r>
      <w:r w:rsidRPr="00092AFA">
        <w:rPr>
          <w:rFonts w:hint="cs"/>
          <w:rtl/>
        </w:rPr>
        <w:t>ת לבתי-הדין ליישם באופן מיטבי יותר את "ארגז  הכלים" שמעמיד החוק לרשות הדיינים ולהגביר את השימוש בצווי מאסר ככלי מעשי במאבק כנגד סרבני הגט . אנו מאמינות כי החמרת תנאי מאסרם של סרבנים, בהתאם להצעת החוק שגובשה ע"י "אמונה" והוגשה ע"י ח"כ שולי מועלם, תוביל לשחרורן של נשים מסורבות גט מכבלי עגינותן. בנוסף לכך, במקביל, החקיקה תייצר את ההרתעה הדרושה למניעת המקרה הבא של סרבנות גט.</w:t>
      </w:r>
    </w:p>
    <w:p w:rsidR="00092AFA" w:rsidRPr="00092AFA" w:rsidRDefault="00092AFA" w:rsidP="00092AFA">
      <w:pPr>
        <w:jc w:val="both"/>
        <w:rPr>
          <w:rtl/>
        </w:rPr>
      </w:pPr>
      <w:r w:rsidRPr="00092AFA">
        <w:rPr>
          <w:rFonts w:hint="cs"/>
          <w:rtl/>
        </w:rPr>
        <w:t>"אמונה" תמשיך בפעילותה בתחומים שונים למען מסורבות הגט במטרה למגר את המונח "סרבנות גט" באופן מוחלט.</w:t>
      </w:r>
    </w:p>
    <w:p w:rsidR="000315F5" w:rsidRPr="000315F5" w:rsidRDefault="000315F5" w:rsidP="001A1B97">
      <w:pPr>
        <w:spacing w:after="0"/>
        <w:rPr>
          <w:rFonts w:cs="David"/>
        </w:rPr>
      </w:pPr>
    </w:p>
    <w:sectPr w:rsidR="000315F5" w:rsidRPr="000315F5" w:rsidSect="00234423">
      <w:headerReference w:type="default" r:id="rId8"/>
      <w:pgSz w:w="11906" w:h="16838"/>
      <w:pgMar w:top="2946" w:right="1800" w:bottom="1985"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EA" w:rsidRDefault="005161EA" w:rsidP="00234423">
      <w:pPr>
        <w:spacing w:after="0" w:line="240" w:lineRule="auto"/>
      </w:pPr>
      <w:r>
        <w:separator/>
      </w:r>
    </w:p>
  </w:endnote>
  <w:endnote w:type="continuationSeparator" w:id="0">
    <w:p w:rsidR="005161EA" w:rsidRDefault="005161EA" w:rsidP="0023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EA" w:rsidRDefault="005161EA" w:rsidP="00234423">
      <w:pPr>
        <w:spacing w:after="0" w:line="240" w:lineRule="auto"/>
      </w:pPr>
      <w:r>
        <w:separator/>
      </w:r>
    </w:p>
  </w:footnote>
  <w:footnote w:type="continuationSeparator" w:id="0">
    <w:p w:rsidR="005161EA" w:rsidRDefault="005161EA" w:rsidP="0023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23" w:rsidRDefault="00234423">
    <w:pPr>
      <w:pStyle w:val="a3"/>
    </w:pPr>
    <w:r>
      <w:rPr>
        <w:noProof/>
      </w:rPr>
      <w:drawing>
        <wp:anchor distT="0" distB="0" distL="114300" distR="114300" simplePos="0" relativeHeight="251658240" behindDoc="1" locked="0" layoutInCell="1" allowOverlap="1" wp14:anchorId="11DC44AC" wp14:editId="4A432604">
          <wp:simplePos x="0" y="0"/>
          <wp:positionH relativeFrom="margin">
            <wp:posOffset>-1144270</wp:posOffset>
          </wp:positionH>
          <wp:positionV relativeFrom="margin">
            <wp:posOffset>-1866265</wp:posOffset>
          </wp:positionV>
          <wp:extent cx="7560310" cy="1069403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מונה-נייר מכתב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4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DC"/>
    <w:multiLevelType w:val="multilevel"/>
    <w:tmpl w:val="2EE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23"/>
    <w:rsid w:val="00001F92"/>
    <w:rsid w:val="000315F5"/>
    <w:rsid w:val="00052745"/>
    <w:rsid w:val="00082FCE"/>
    <w:rsid w:val="00092AFA"/>
    <w:rsid w:val="000E3449"/>
    <w:rsid w:val="00123856"/>
    <w:rsid w:val="001A1B97"/>
    <w:rsid w:val="00234423"/>
    <w:rsid w:val="00275406"/>
    <w:rsid w:val="002B1A4A"/>
    <w:rsid w:val="003033A2"/>
    <w:rsid w:val="003C0398"/>
    <w:rsid w:val="005161EA"/>
    <w:rsid w:val="0056525A"/>
    <w:rsid w:val="005D5BA0"/>
    <w:rsid w:val="005E33DE"/>
    <w:rsid w:val="006235F6"/>
    <w:rsid w:val="00663C3D"/>
    <w:rsid w:val="00715B5C"/>
    <w:rsid w:val="0076170B"/>
    <w:rsid w:val="00841220"/>
    <w:rsid w:val="00A36294"/>
    <w:rsid w:val="00A46FB8"/>
    <w:rsid w:val="00AD0BF7"/>
    <w:rsid w:val="00BB4DE7"/>
    <w:rsid w:val="00C51765"/>
    <w:rsid w:val="00C80B1C"/>
    <w:rsid w:val="00CC0EA8"/>
    <w:rsid w:val="00D4094B"/>
    <w:rsid w:val="00E77880"/>
    <w:rsid w:val="00E86135"/>
    <w:rsid w:val="00FD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customStyle="1" w:styleId="medium2-header">
    <w:name w:val="medium2-header"/>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63C3D"/>
  </w:style>
  <w:style w:type="character" w:customStyle="1" w:styleId="default">
    <w:name w:val="default"/>
    <w:basedOn w:val="a0"/>
    <w:rsid w:val="00663C3D"/>
  </w:style>
  <w:style w:type="character" w:customStyle="1" w:styleId="apple-converted-space">
    <w:name w:val="apple-converted-space"/>
    <w:basedOn w:val="a0"/>
    <w:rsid w:val="00663C3D"/>
  </w:style>
  <w:style w:type="paragraph" w:customStyle="1" w:styleId="Hesber">
    <w:name w:val="Hesber"/>
    <w:basedOn w:val="a"/>
    <w:rsid w:val="00092AFA"/>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paragraph" w:customStyle="1" w:styleId="HeadHatzaotHok">
    <w:name w:val="Head HatzaotHok"/>
    <w:basedOn w:val="a"/>
    <w:rsid w:val="00092AFA"/>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customStyle="1" w:styleId="medium2-header">
    <w:name w:val="medium2-header"/>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63C3D"/>
  </w:style>
  <w:style w:type="character" w:customStyle="1" w:styleId="default">
    <w:name w:val="default"/>
    <w:basedOn w:val="a0"/>
    <w:rsid w:val="00663C3D"/>
  </w:style>
  <w:style w:type="character" w:customStyle="1" w:styleId="apple-converted-space">
    <w:name w:val="apple-converted-space"/>
    <w:basedOn w:val="a0"/>
    <w:rsid w:val="00663C3D"/>
  </w:style>
  <w:style w:type="paragraph" w:customStyle="1" w:styleId="Hesber">
    <w:name w:val="Hesber"/>
    <w:basedOn w:val="a"/>
    <w:rsid w:val="00092AFA"/>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paragraph" w:customStyle="1" w:styleId="HeadHatzaotHok">
    <w:name w:val="Head HatzaotHok"/>
    <w:basedOn w:val="a"/>
    <w:rsid w:val="00092AFA"/>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6718">
      <w:bodyDiv w:val="1"/>
      <w:marLeft w:val="0"/>
      <w:marRight w:val="0"/>
      <w:marTop w:val="0"/>
      <w:marBottom w:val="0"/>
      <w:divBdr>
        <w:top w:val="none" w:sz="0" w:space="0" w:color="auto"/>
        <w:left w:val="none" w:sz="0" w:space="0" w:color="auto"/>
        <w:bottom w:val="none" w:sz="0" w:space="0" w:color="auto"/>
        <w:right w:val="none" w:sz="0" w:space="0" w:color="auto"/>
      </w:divBdr>
    </w:div>
    <w:div w:id="711617204">
      <w:bodyDiv w:val="1"/>
      <w:marLeft w:val="0"/>
      <w:marRight w:val="0"/>
      <w:marTop w:val="0"/>
      <w:marBottom w:val="0"/>
      <w:divBdr>
        <w:top w:val="none" w:sz="0" w:space="0" w:color="auto"/>
        <w:left w:val="none" w:sz="0" w:space="0" w:color="auto"/>
        <w:bottom w:val="none" w:sz="0" w:space="0" w:color="auto"/>
        <w:right w:val="none" w:sz="0" w:space="0" w:color="auto"/>
      </w:divBdr>
    </w:div>
    <w:div w:id="736826304">
      <w:bodyDiv w:val="1"/>
      <w:marLeft w:val="0"/>
      <w:marRight w:val="0"/>
      <w:marTop w:val="0"/>
      <w:marBottom w:val="90"/>
      <w:divBdr>
        <w:top w:val="none" w:sz="0" w:space="0" w:color="auto"/>
        <w:left w:val="none" w:sz="0" w:space="0" w:color="auto"/>
        <w:bottom w:val="none" w:sz="0" w:space="0" w:color="auto"/>
        <w:right w:val="none" w:sz="0" w:space="0" w:color="auto"/>
      </w:divBdr>
      <w:divsChild>
        <w:div w:id="969045965">
          <w:marLeft w:val="0"/>
          <w:marRight w:val="270"/>
          <w:marTop w:val="0"/>
          <w:marBottom w:val="0"/>
          <w:divBdr>
            <w:top w:val="none" w:sz="0" w:space="0" w:color="auto"/>
            <w:left w:val="none" w:sz="0" w:space="0" w:color="auto"/>
            <w:bottom w:val="none" w:sz="0" w:space="0" w:color="auto"/>
            <w:right w:val="none" w:sz="0" w:space="0" w:color="auto"/>
          </w:divBdr>
          <w:divsChild>
            <w:div w:id="643703588">
              <w:marLeft w:val="0"/>
              <w:marRight w:val="0"/>
              <w:marTop w:val="0"/>
              <w:marBottom w:val="0"/>
              <w:divBdr>
                <w:top w:val="single" w:sz="6" w:space="2" w:color="D7D7D9"/>
                <w:left w:val="single" w:sz="6" w:space="2" w:color="D7D7D9"/>
                <w:bottom w:val="single" w:sz="6" w:space="2" w:color="D7D7D9"/>
                <w:right w:val="single" w:sz="6" w:space="2" w:color="D7D7D9"/>
              </w:divBdr>
              <w:divsChild>
                <w:div w:id="1094398430">
                  <w:marLeft w:val="0"/>
                  <w:marRight w:val="0"/>
                  <w:marTop w:val="0"/>
                  <w:marBottom w:val="0"/>
                  <w:divBdr>
                    <w:top w:val="none" w:sz="0" w:space="0" w:color="auto"/>
                    <w:left w:val="none" w:sz="0" w:space="0" w:color="auto"/>
                    <w:bottom w:val="none" w:sz="0" w:space="0" w:color="auto"/>
                    <w:right w:val="none" w:sz="0" w:space="0" w:color="auto"/>
                  </w:divBdr>
                  <w:divsChild>
                    <w:div w:id="403573832">
                      <w:marLeft w:val="0"/>
                      <w:marRight w:val="0"/>
                      <w:marTop w:val="0"/>
                      <w:marBottom w:val="0"/>
                      <w:divBdr>
                        <w:top w:val="none" w:sz="0" w:space="0" w:color="auto"/>
                        <w:left w:val="none" w:sz="0" w:space="0" w:color="auto"/>
                        <w:bottom w:val="none" w:sz="0" w:space="0" w:color="auto"/>
                        <w:right w:val="none" w:sz="0" w:space="0" w:color="auto"/>
                      </w:divBdr>
                      <w:divsChild>
                        <w:div w:id="56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truper</dc:creator>
  <cp:lastModifiedBy>Tsiporet Shimel</cp:lastModifiedBy>
  <cp:revision>2</cp:revision>
  <cp:lastPrinted>2016-05-10T05:39:00Z</cp:lastPrinted>
  <dcterms:created xsi:type="dcterms:W3CDTF">2016-09-06T07:40:00Z</dcterms:created>
  <dcterms:modified xsi:type="dcterms:W3CDTF">2016-09-06T07:40:00Z</dcterms:modified>
</cp:coreProperties>
</file>